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6E65A">
      <w:pPr>
        <w:spacing w:line="440" w:lineRule="exact"/>
        <w:ind w:firstLine="551" w:firstLineChars="196"/>
        <w:jc w:val="center"/>
        <w:rPr>
          <w:rFonts w:hint="default" w:ascii="宋体" w:hAnsi="宋体" w:eastAsia="宋体"/>
          <w:bCs/>
          <w:sz w:val="21"/>
          <w:szCs w:val="21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污水COD设备更新项目需求书</w:t>
      </w:r>
    </w:p>
    <w:p w14:paraId="5A5E191F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（一）清单：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1664"/>
        <w:gridCol w:w="2416"/>
        <w:gridCol w:w="680"/>
        <w:gridCol w:w="770"/>
        <w:gridCol w:w="2204"/>
      </w:tblGrid>
      <w:tr w14:paraId="73EA8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Header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F164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ACA5E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项目内容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E351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8812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DD60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6054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说明</w:t>
            </w:r>
          </w:p>
        </w:tc>
      </w:tr>
      <w:tr w14:paraId="55B59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DA26B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894D7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COD在线仪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3514C5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详见技术要求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4D618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651776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8ACE8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E671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BAD5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24B23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水质采样器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E9C885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详见技术要求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FBAFA0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DE00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88A13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F06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45A24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A952D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现场安装服务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7DB07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设备按照制定室内位置进行布置，实现取样、供养功能。包含所有材料、辅料等。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40D8BD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86A202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80BCC">
            <w:pPr>
              <w:widowControl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采购人仅提供就近电源，其余全部由成交人负责。</w:t>
            </w:r>
          </w:p>
        </w:tc>
      </w:tr>
      <w:tr w14:paraId="612FBA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69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618173">
            <w:pPr>
              <w:widowControl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备案验收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F374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含第三方比对报告、现场服务、仪器性能测试及备案材料等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0AA1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227CB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</w:t>
            </w:r>
          </w:p>
        </w:tc>
        <w:tc>
          <w:tcPr>
            <w:tcW w:w="1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83E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0F006360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（二）详细技术要求：</w:t>
      </w:r>
    </w:p>
    <w:p w14:paraId="1721E7CB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1、COD在线仪：</w:t>
      </w:r>
    </w:p>
    <w:p w14:paraId="4F130EED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1.1检测项目： COD</w:t>
      </w:r>
    </w:p>
    <w:p w14:paraId="44945E15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*1.2方法：</w:t>
      </w:r>
    </w:p>
    <w:p w14:paraId="6A18EAFE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基于中国国家标准（GB 11914-89）</w:t>
      </w:r>
    </w:p>
    <w:p w14:paraId="6D10DD63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化学需氧量测定—重铬酸钾法</w:t>
      </w:r>
    </w:p>
    <w:p w14:paraId="46003517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1.3消解方式：高温高压密闭消解</w:t>
      </w:r>
    </w:p>
    <w:p w14:paraId="4FF0810C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1.4检测范围：0mg/L～1000 mg/L的COD  </w:t>
      </w:r>
    </w:p>
    <w:p w14:paraId="6B4A3FFC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1.5重现性：±5% </w:t>
      </w:r>
    </w:p>
    <w:p w14:paraId="6E4352B0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1.6示值误差：</w:t>
      </w:r>
    </w:p>
    <w:p w14:paraId="1A812AD2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标液浓度为2.0 mg/L时（±8%）</w:t>
      </w:r>
    </w:p>
    <w:p w14:paraId="1F56B281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标液浓度为5.0 mg/L时（±5%）</w:t>
      </w:r>
    </w:p>
    <w:p w14:paraId="71CF9ECA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标液浓度为8.0 mg/L时（±3%）</w:t>
      </w:r>
    </w:p>
    <w:p w14:paraId="158AFCC1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1.7  24h低浓度漂移：±5mg/L</w:t>
      </w:r>
    </w:p>
    <w:p w14:paraId="0DEA7638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1.8   24h高浓度漂移：±5%</w:t>
      </w:r>
    </w:p>
    <w:p w14:paraId="0F6EACA3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1.9记忆效应≤±5mg/L</w:t>
      </w:r>
    </w:p>
    <w:p w14:paraId="24121883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1.10一致性≤1% </w:t>
      </w:r>
    </w:p>
    <w:p w14:paraId="78F31145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1.11校正周期：手动与自动两种模式，可自行设置</w:t>
      </w:r>
    </w:p>
    <w:p w14:paraId="4FFB7A85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1.12分辨率：0.1mg/L</w:t>
      </w:r>
    </w:p>
    <w:p w14:paraId="3DFA94FD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1.13  MTBF≧360小时/次</w:t>
      </w:r>
    </w:p>
    <w:p w14:paraId="38B5DE05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1.14上位机通讯：RS232C/RS485</w:t>
      </w:r>
    </w:p>
    <w:p w14:paraId="6EE37C08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1.15电源：额定电压AC220V±10%  频率50Hz</w:t>
      </w:r>
    </w:p>
    <w:p w14:paraId="5D8D8FA4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1.16环境温度：+5℃～40℃</w:t>
      </w:r>
    </w:p>
    <w:p w14:paraId="329EBF39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1.17环境湿度：90%RH以下</w:t>
      </w:r>
    </w:p>
    <w:p w14:paraId="04474216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*1.18功能要求</w:t>
      </w:r>
      <w:r>
        <w:rPr>
          <w:rFonts w:hint="eastAsia" w:ascii="宋体" w:hAnsi="宋体" w:eastAsia="宋体"/>
          <w:sz w:val="21"/>
          <w:szCs w:val="21"/>
        </w:rPr>
        <w:tab/>
      </w:r>
    </w:p>
    <w:p w14:paraId="5C329550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具备零点核查、标样核查以及24h零点漂移、24h跨度漂移等功能；</w:t>
      </w:r>
    </w:p>
    <w:p w14:paraId="0622C3A7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具有试剂余量监控功能。当试剂余量小于设定值时，仪器显示提示信息</w:t>
      </w:r>
    </w:p>
    <w:p w14:paraId="6820A365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具有门禁功能，可记录仪器开关门次数；</w:t>
      </w:r>
    </w:p>
    <w:p w14:paraId="7B1C83B0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采用至少7吋彩色触摸屏，直观显示监控界面及关键参数（消解温度、消解时长、光电信号值、校准曲线、标样浓度、核查浓度、吸光度等）。</w:t>
      </w:r>
    </w:p>
    <w:p w14:paraId="19046BBC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仪器采用蠕动泵抽取水样，试剂等，液体到计量系统，采用光电液位检测，实现液体计量；采用多通道阀实现流路实时切换。</w:t>
      </w:r>
    </w:p>
    <w:p w14:paraId="2504C522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具备远程操作及远程在线升级功能。</w:t>
      </w:r>
    </w:p>
    <w:p w14:paraId="23699076">
      <w:pPr>
        <w:spacing w:line="440" w:lineRule="exact"/>
        <w:ind w:right="-159"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1.19其他要求：</w:t>
      </w:r>
    </w:p>
    <w:p w14:paraId="10275E6D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一体化消解/比色模块，高温、高压密闭消解后直接测量，消解完全、氧化效率高。</w:t>
      </w:r>
    </w:p>
    <w:p w14:paraId="7B40ED3D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采用高精度蠕动泵+非接触式光电计量装置，试剂抽取快，精度高，可靠性好，工作寿命长。</w:t>
      </w:r>
    </w:p>
    <w:p w14:paraId="1F444967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自动校准、一键清洗功能，保证设备测量准确和各试剂通道干净无污。</w:t>
      </w:r>
    </w:p>
    <w:p w14:paraId="1431D328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具有数据存储功能，可连续存储10万组数据记录，断电数据自动保存，支持USB数据导出。</w:t>
      </w:r>
    </w:p>
    <w:p w14:paraId="4A3A7B0D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具有漏液检测功能，如有漏液或仪器模块不正常，屏幕可显示或蜂鸣报警提醒。</w:t>
      </w:r>
    </w:p>
    <w:p w14:paraId="67E4090E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具有标液核查、量程自动转换、自动清洗、自动校准、废液分离、试剂余量提醒等功能。</w:t>
      </w:r>
    </w:p>
    <w:p w14:paraId="7973E94A">
      <w:pPr>
        <w:spacing w:line="440" w:lineRule="exact"/>
        <w:ind w:right="-159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具有测量计时功能，屏幕可显示当前作样剩余时间。</w:t>
      </w:r>
    </w:p>
    <w:p w14:paraId="2DCC904F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2、水质采样器：</w:t>
      </w:r>
    </w:p>
    <w:p w14:paraId="0E01B4FD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</w:t>
      </w:r>
      <w:r>
        <w:rPr>
          <w:rFonts w:ascii="宋体" w:hAnsi="宋体" w:eastAsia="宋体"/>
          <w:bCs/>
          <w:sz w:val="21"/>
          <w:szCs w:val="21"/>
        </w:rPr>
        <w:t>采样间隔：</w:t>
      </w:r>
      <w:r>
        <w:rPr>
          <w:rFonts w:hint="eastAsia" w:ascii="宋体" w:hAnsi="宋体" w:eastAsia="宋体"/>
          <w:bCs/>
          <w:sz w:val="21"/>
          <w:szCs w:val="21"/>
        </w:rPr>
        <w:t>1</w:t>
      </w:r>
      <w:r>
        <w:rPr>
          <w:rFonts w:ascii="宋体" w:hAnsi="宋体" w:eastAsia="宋体"/>
          <w:bCs/>
          <w:sz w:val="21"/>
          <w:szCs w:val="21"/>
        </w:rPr>
        <w:t>min～9999min 可设</w:t>
      </w:r>
    </w:p>
    <w:p w14:paraId="77367B12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2.2</w:t>
      </w:r>
      <w:r>
        <w:rPr>
          <w:rFonts w:ascii="宋体" w:hAnsi="宋体" w:eastAsia="宋体"/>
          <w:bCs/>
          <w:sz w:val="21"/>
          <w:szCs w:val="21"/>
        </w:rPr>
        <w:t>采样瓶数：</w:t>
      </w:r>
      <w:r>
        <w:rPr>
          <w:rFonts w:hint="eastAsia" w:ascii="宋体" w:hAnsi="宋体" w:eastAsia="宋体"/>
          <w:bCs/>
          <w:sz w:val="21"/>
          <w:szCs w:val="21"/>
        </w:rPr>
        <w:t>1000ml×25瓶</w:t>
      </w:r>
    </w:p>
    <w:p w14:paraId="7B3D4D96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2.3单次留样量</w:t>
      </w:r>
      <w:r>
        <w:rPr>
          <w:rFonts w:ascii="宋体" w:hAnsi="宋体" w:eastAsia="宋体"/>
          <w:bCs/>
          <w:sz w:val="21"/>
          <w:szCs w:val="21"/>
        </w:rPr>
        <w:t>：</w:t>
      </w:r>
      <w:r>
        <w:rPr>
          <w:rFonts w:hint="eastAsia" w:ascii="宋体" w:hAnsi="宋体" w:eastAsia="宋体"/>
          <w:bCs/>
          <w:sz w:val="21"/>
          <w:szCs w:val="21"/>
        </w:rPr>
        <w:t>(10～1000)ml</w:t>
      </w:r>
    </w:p>
    <w:p w14:paraId="38B37141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2.4采样记录：1000条</w:t>
      </w:r>
    </w:p>
    <w:p w14:paraId="645FA3D0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2.5开关门记录：2000条</w:t>
      </w:r>
    </w:p>
    <w:p w14:paraId="40FFF813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2.6停电记录：2000条</w:t>
      </w:r>
    </w:p>
    <w:p w14:paraId="727ACB9B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*2.7采样量误差：</w:t>
      </w:r>
      <w:r>
        <w:rPr>
          <w:rFonts w:ascii="宋体" w:hAnsi="宋体" w:eastAsia="宋体"/>
          <w:bCs/>
          <w:sz w:val="21"/>
          <w:szCs w:val="21"/>
        </w:rPr>
        <w:t>±</w:t>
      </w:r>
      <w:r>
        <w:rPr>
          <w:rFonts w:hint="eastAsia" w:ascii="宋体" w:hAnsi="宋体" w:eastAsia="宋体"/>
          <w:bCs/>
          <w:sz w:val="21"/>
          <w:szCs w:val="21"/>
        </w:rPr>
        <w:t>6</w:t>
      </w:r>
      <w:r>
        <w:rPr>
          <w:rFonts w:ascii="宋体" w:hAnsi="宋体" w:eastAsia="宋体"/>
          <w:bCs/>
          <w:sz w:val="21"/>
          <w:szCs w:val="21"/>
        </w:rPr>
        <w:t>%</w:t>
      </w:r>
    </w:p>
    <w:p w14:paraId="292E21D7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2.8留样</w:t>
      </w:r>
      <w:r>
        <w:rPr>
          <w:rFonts w:ascii="宋体" w:hAnsi="宋体" w:eastAsia="宋体"/>
          <w:bCs/>
          <w:sz w:val="21"/>
          <w:szCs w:val="21"/>
        </w:rPr>
        <w:t>量误差：±</w:t>
      </w:r>
      <w:r>
        <w:rPr>
          <w:rFonts w:hint="eastAsia" w:ascii="宋体" w:hAnsi="宋体" w:eastAsia="宋体"/>
          <w:bCs/>
          <w:sz w:val="21"/>
          <w:szCs w:val="21"/>
        </w:rPr>
        <w:t>5</w:t>
      </w:r>
      <w:r>
        <w:rPr>
          <w:rFonts w:ascii="宋体" w:hAnsi="宋体" w:eastAsia="宋体"/>
          <w:bCs/>
          <w:sz w:val="21"/>
          <w:szCs w:val="21"/>
        </w:rPr>
        <w:t>%</w:t>
      </w:r>
    </w:p>
    <w:p w14:paraId="1EA10489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*2.9</w:t>
      </w:r>
      <w:r>
        <w:rPr>
          <w:rFonts w:ascii="宋体" w:hAnsi="宋体" w:eastAsia="宋体"/>
          <w:bCs/>
          <w:sz w:val="21"/>
          <w:szCs w:val="21"/>
        </w:rPr>
        <w:t>等比例采样量误差：±</w:t>
      </w:r>
      <w:r>
        <w:rPr>
          <w:rFonts w:hint="eastAsia" w:ascii="宋体" w:hAnsi="宋体" w:eastAsia="宋体"/>
          <w:bCs/>
          <w:sz w:val="21"/>
          <w:szCs w:val="21"/>
        </w:rPr>
        <w:t>5</w:t>
      </w:r>
      <w:r>
        <w:rPr>
          <w:rFonts w:ascii="宋体" w:hAnsi="宋体" w:eastAsia="宋体"/>
          <w:bCs/>
          <w:sz w:val="21"/>
          <w:szCs w:val="21"/>
        </w:rPr>
        <w:t>%</w:t>
      </w:r>
    </w:p>
    <w:p w14:paraId="743D441D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*2.10系统时钟时间控制误差</w:t>
      </w:r>
      <w:r>
        <w:rPr>
          <w:rFonts w:ascii="宋体" w:hAnsi="宋体" w:eastAsia="宋体"/>
          <w:bCs/>
          <w:sz w:val="21"/>
          <w:szCs w:val="21"/>
        </w:rPr>
        <w:t>：</w:t>
      </w:r>
      <w:r>
        <w:rPr>
          <w:rFonts w:hint="eastAsia" w:ascii="宋体" w:hAnsi="宋体" w:eastAsia="宋体"/>
          <w:bCs/>
          <w:sz w:val="21"/>
          <w:szCs w:val="21"/>
        </w:rPr>
        <w:t>Δ0.</w:t>
      </w:r>
      <w:r>
        <w:rPr>
          <w:rFonts w:ascii="宋体" w:hAnsi="宋体" w:eastAsia="宋体"/>
          <w:bCs/>
          <w:sz w:val="21"/>
          <w:szCs w:val="21"/>
        </w:rPr>
        <w:t>1</w:t>
      </w:r>
      <w:r>
        <w:rPr>
          <w:rFonts w:hint="eastAsia" w:ascii="宋体" w:hAnsi="宋体" w:eastAsia="宋体"/>
          <w:bCs/>
          <w:sz w:val="21"/>
          <w:szCs w:val="21"/>
        </w:rPr>
        <w:t>≤</w:t>
      </w:r>
      <w:r>
        <w:rPr>
          <w:rFonts w:ascii="宋体" w:hAnsi="宋体" w:eastAsia="宋体"/>
          <w:bCs/>
          <w:sz w:val="21"/>
          <w:szCs w:val="21"/>
        </w:rPr>
        <w:t>0.1%</w:t>
      </w:r>
      <w:r>
        <w:rPr>
          <w:rFonts w:hint="eastAsia" w:ascii="宋体" w:hAnsi="宋体" w:eastAsia="宋体"/>
          <w:bCs/>
          <w:sz w:val="21"/>
          <w:szCs w:val="21"/>
        </w:rPr>
        <w:t xml:space="preserve">   Δ5≤</w:t>
      </w:r>
      <w:r>
        <w:rPr>
          <w:rFonts w:ascii="宋体" w:hAnsi="宋体" w:eastAsia="宋体"/>
          <w:bCs/>
          <w:sz w:val="21"/>
          <w:szCs w:val="21"/>
        </w:rPr>
        <w:t>30s</w:t>
      </w:r>
    </w:p>
    <w:p w14:paraId="5B44F905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*2.11</w:t>
      </w:r>
      <w:r>
        <w:rPr>
          <w:rFonts w:ascii="宋体" w:hAnsi="宋体" w:eastAsia="宋体"/>
          <w:bCs/>
          <w:sz w:val="21"/>
          <w:szCs w:val="21"/>
        </w:rPr>
        <w:t>控温精度：</w:t>
      </w:r>
      <w:r>
        <w:rPr>
          <w:rFonts w:hint="eastAsia" w:ascii="宋体" w:hAnsi="宋体" w:eastAsia="宋体"/>
          <w:bCs/>
          <w:sz w:val="21"/>
          <w:szCs w:val="21"/>
        </w:rPr>
        <w:t>1.5℃</w:t>
      </w:r>
    </w:p>
    <w:p w14:paraId="6E2AFA43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2.12采样垂直高度</w:t>
      </w:r>
      <w:r>
        <w:rPr>
          <w:rFonts w:ascii="宋体" w:hAnsi="宋体" w:eastAsia="宋体"/>
          <w:bCs/>
          <w:sz w:val="21"/>
          <w:szCs w:val="21"/>
        </w:rPr>
        <w:t>：</w:t>
      </w:r>
      <w:r>
        <w:rPr>
          <w:rFonts w:hint="eastAsia" w:ascii="宋体" w:hAnsi="宋体" w:eastAsia="宋体"/>
          <w:bCs/>
          <w:sz w:val="21"/>
          <w:szCs w:val="21"/>
        </w:rPr>
        <w:t>≥8</w:t>
      </w:r>
      <w:r>
        <w:rPr>
          <w:rFonts w:ascii="宋体" w:hAnsi="宋体" w:eastAsia="宋体"/>
          <w:bCs/>
          <w:sz w:val="21"/>
          <w:szCs w:val="21"/>
        </w:rPr>
        <w:t>m</w:t>
      </w:r>
    </w:p>
    <w:p w14:paraId="44CD4D06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2.13水平采样距离</w:t>
      </w:r>
      <w:r>
        <w:rPr>
          <w:rFonts w:ascii="宋体" w:hAnsi="宋体" w:eastAsia="宋体"/>
          <w:bCs/>
          <w:sz w:val="21"/>
          <w:szCs w:val="21"/>
        </w:rPr>
        <w:t>：</w:t>
      </w:r>
      <w:r>
        <w:rPr>
          <w:rFonts w:hint="eastAsia" w:ascii="宋体" w:hAnsi="宋体" w:eastAsia="宋体"/>
          <w:bCs/>
          <w:sz w:val="21"/>
          <w:szCs w:val="21"/>
        </w:rPr>
        <w:t>≥8</w:t>
      </w:r>
      <w:r>
        <w:rPr>
          <w:rFonts w:ascii="宋体" w:hAnsi="宋体" w:eastAsia="宋体"/>
          <w:bCs/>
          <w:sz w:val="21"/>
          <w:szCs w:val="21"/>
        </w:rPr>
        <w:t>0m</w:t>
      </w:r>
    </w:p>
    <w:p w14:paraId="3901425B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2.14管路系统气密性：≤</w:t>
      </w:r>
      <w:r>
        <w:rPr>
          <w:rFonts w:ascii="宋体" w:hAnsi="宋体" w:eastAsia="宋体"/>
          <w:bCs/>
          <w:sz w:val="21"/>
          <w:szCs w:val="21"/>
        </w:rPr>
        <w:t>-0.085MPa</w:t>
      </w:r>
    </w:p>
    <w:p w14:paraId="113A8F73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2.15</w:t>
      </w:r>
      <w:r>
        <w:rPr>
          <w:rFonts w:ascii="宋体" w:hAnsi="宋体" w:eastAsia="宋体"/>
          <w:bCs/>
          <w:sz w:val="21"/>
          <w:szCs w:val="21"/>
        </w:rPr>
        <w:t>平均无故障时间：≥1440h/次</w:t>
      </w:r>
    </w:p>
    <w:p w14:paraId="24B7EF86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2.16</w:t>
      </w:r>
      <w:r>
        <w:rPr>
          <w:rFonts w:ascii="宋体" w:hAnsi="宋体" w:eastAsia="宋体"/>
          <w:bCs/>
          <w:sz w:val="21"/>
          <w:szCs w:val="21"/>
        </w:rPr>
        <w:t>绝缘阻抗：&gt;20MΩ</w:t>
      </w:r>
    </w:p>
    <w:p w14:paraId="1D931687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2.17</w:t>
      </w:r>
      <w:r>
        <w:rPr>
          <w:rFonts w:ascii="宋体" w:hAnsi="宋体" w:eastAsia="宋体"/>
          <w:bCs/>
          <w:sz w:val="21"/>
          <w:szCs w:val="21"/>
        </w:rPr>
        <w:t>通讯接口：RS232/485 接口</w:t>
      </w:r>
    </w:p>
    <w:p w14:paraId="1210DD18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2.18</w:t>
      </w:r>
      <w:r>
        <w:rPr>
          <w:rFonts w:ascii="宋体" w:hAnsi="宋体" w:eastAsia="宋体"/>
          <w:bCs/>
          <w:sz w:val="21"/>
          <w:szCs w:val="21"/>
        </w:rPr>
        <w:t>模拟接口：4mA～20mA</w:t>
      </w:r>
    </w:p>
    <w:p w14:paraId="7EFA2908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2.19</w:t>
      </w:r>
      <w:r>
        <w:rPr>
          <w:rFonts w:ascii="宋体" w:hAnsi="宋体" w:eastAsia="宋体"/>
          <w:bCs/>
          <w:sz w:val="21"/>
          <w:szCs w:val="21"/>
        </w:rPr>
        <w:t>数字量输入接口：开关量</w:t>
      </w:r>
    </w:p>
    <w:p w14:paraId="54783543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2.20</w:t>
      </w:r>
      <w:r>
        <w:rPr>
          <w:rFonts w:ascii="宋体" w:hAnsi="宋体" w:eastAsia="宋体"/>
          <w:bCs/>
          <w:sz w:val="21"/>
          <w:szCs w:val="21"/>
        </w:rPr>
        <w:t>工作湿度：≤85%RH</w:t>
      </w:r>
    </w:p>
    <w:p w14:paraId="260C1DBF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2.21仪器界面：中文界面，彩色液晶触摸显示屏</w:t>
      </w:r>
    </w:p>
    <w:p w14:paraId="3B966BA2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2.22平均功率：75W</w:t>
      </w:r>
    </w:p>
    <w:p w14:paraId="2C91E4FF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2.23其他要求：</w:t>
      </w:r>
    </w:p>
    <w:p w14:paraId="4641F823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采样功能：可实现定时采样、时间等比、流量等比、流量跟踪、外控采样和远程启动等多种采样触发方式；</w:t>
      </w:r>
    </w:p>
    <w:p w14:paraId="5F5FEACB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留样功能：可实现超标留样、同步留样、直接留样、串口控制留样功能；</w:t>
      </w:r>
    </w:p>
    <w:p w14:paraId="2E18F630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供样功能：可同时向COD、氨氮、重金属等多台在线监测仪提供不间断混合水样；</w:t>
      </w:r>
    </w:p>
    <w:p w14:paraId="617CC0C6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人工比对：具备手动采样口，可实现混合水样的人工比对功能；</w:t>
      </w:r>
    </w:p>
    <w:p w14:paraId="59E0BB8F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记录：可记录每次留样的留样瓶号、留样时间、留样量、采样模式、留样模式、留样次数、平行样号、COD 值、NH3-N 值、总磷值和总氮值，可记录最新 10000 条数据记录；</w:t>
      </w:r>
    </w:p>
    <w:p w14:paraId="45F1075A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断电保护：断电自动保护，断电后参数不会丢失，上电后仪器能自动恢复原工作状态；</w:t>
      </w:r>
    </w:p>
    <w:p w14:paraId="41956159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数字控温：冷藏箱精确数字控温，加装均热系统，温度均匀准确；</w:t>
      </w:r>
    </w:p>
    <w:p w14:paraId="15848C89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自动润洗：每次采样前，用待测水样润洗管路及采样桶，保证留样的代表性；</w:t>
      </w:r>
    </w:p>
    <w:p w14:paraId="24700C09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混匀桶自动排空：混匀桶具有快速自动排空功能；</w:t>
      </w:r>
    </w:p>
    <w:p w14:paraId="1790366C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外置泵控制：直接控制外置泵，加长采样距离；</w:t>
      </w:r>
    </w:p>
    <w:p w14:paraId="2B04D0C4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防溢功能：用户可设置留样瓶数量，完成设定瓶数的留样后停止留样；</w:t>
      </w:r>
    </w:p>
    <w:p w14:paraId="0E431A3A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供样采样管路采用硬质PVC材料，保证水样的采集的有效性和时效性；</w:t>
      </w:r>
    </w:p>
    <w:p w14:paraId="1A994C7E">
      <w:pPr>
        <w:spacing w:line="440" w:lineRule="exact"/>
        <w:ind w:firstLine="411" w:firstLineChars="196"/>
        <w:rPr>
          <w:rFonts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（三）售后、验收要求：</w:t>
      </w:r>
    </w:p>
    <w:p w14:paraId="658F2AF1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1、质保期：≥1年。</w:t>
      </w:r>
    </w:p>
    <w:p w14:paraId="02FAE522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bookmarkStart w:id="0" w:name="_Toc187811877"/>
      <w:r>
        <w:rPr>
          <w:rFonts w:hint="eastAsia" w:ascii="宋体" w:hAnsi="宋体" w:eastAsia="宋体"/>
          <w:bCs/>
          <w:sz w:val="21"/>
          <w:szCs w:val="21"/>
        </w:rPr>
        <w:t>2、质量要求</w:t>
      </w:r>
      <w:bookmarkEnd w:id="0"/>
      <w:r>
        <w:rPr>
          <w:rFonts w:hint="eastAsia" w:ascii="宋体" w:hAnsi="宋体" w:eastAsia="宋体"/>
          <w:bCs/>
          <w:sz w:val="21"/>
          <w:szCs w:val="21"/>
        </w:rPr>
        <w:t>：所有材料、设备应是最新的，具有最好的质量、适合特定条件下的工作，并能承受工作条件下湿度和气候的变化，不产生变形、退化或产生任何部分的不适当的受力。</w:t>
      </w:r>
    </w:p>
    <w:p w14:paraId="2C7717DB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bookmarkStart w:id="1" w:name="_Toc187811883"/>
      <w:r>
        <w:rPr>
          <w:rFonts w:hint="eastAsia" w:ascii="宋体" w:hAnsi="宋体" w:eastAsia="宋体"/>
          <w:bCs/>
          <w:sz w:val="21"/>
          <w:szCs w:val="21"/>
        </w:rPr>
        <w:t>3、设备安装</w:t>
      </w:r>
      <w:bookmarkEnd w:id="1"/>
      <w:r>
        <w:rPr>
          <w:rFonts w:hint="eastAsia" w:ascii="宋体" w:hAnsi="宋体" w:eastAsia="宋体"/>
          <w:bCs/>
          <w:sz w:val="21"/>
          <w:szCs w:val="21"/>
        </w:rPr>
        <w:t>要求：</w:t>
      </w:r>
    </w:p>
    <w:p w14:paraId="4C59CE0B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（1）设备的安装应按照产品安装使用说明或参考设计图纸进行。</w:t>
      </w:r>
    </w:p>
    <w:p w14:paraId="0D9DB5F3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（2）在安装前应进行产品检查，包括：型号、规格、附件、产品外观等内容，并且要查阅有关产品使用说明。</w:t>
      </w:r>
    </w:p>
    <w:p w14:paraId="6E62BC4B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（3）设备的安装支架应安装牢固可靠，不得有变形或损坏。</w:t>
      </w:r>
    </w:p>
    <w:p w14:paraId="297D455E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（4）项目完工后，应及时清除垃圾及杂质，并按要求进行现场确认。</w:t>
      </w:r>
    </w:p>
    <w:p w14:paraId="325D18F2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（5）设备安装完毕后进</w:t>
      </w:r>
      <w:bookmarkStart w:id="2" w:name="_GoBack"/>
      <w:bookmarkEnd w:id="2"/>
      <w:r>
        <w:rPr>
          <w:rFonts w:hint="eastAsia" w:ascii="宋体" w:hAnsi="宋体" w:eastAsia="宋体"/>
          <w:bCs/>
          <w:sz w:val="21"/>
          <w:szCs w:val="21"/>
        </w:rPr>
        <w:t>行调试，各参数指示正常，管道无泄漏、运行无报警。</w:t>
      </w:r>
    </w:p>
    <w:p w14:paraId="77348B66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4、质量检查与验收</w:t>
      </w:r>
    </w:p>
    <w:p w14:paraId="225B3E68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在现场施工过程中，所有的工序节点应经过检查。</w:t>
      </w:r>
    </w:p>
    <w:p w14:paraId="60F2FAA6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检查应由采购人和磋商响应单位共同参加，磋商响应单位应组织有效的测试和检查。</w:t>
      </w:r>
    </w:p>
    <w:p w14:paraId="51CB80D3">
      <w:pPr>
        <w:spacing w:line="440" w:lineRule="exact"/>
        <w:ind w:firstLine="411" w:firstLineChars="196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磋商响应单位应提供用于测试和检查的所有必须的工具、仪器。</w:t>
      </w:r>
    </w:p>
    <w:p w14:paraId="54F859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ZjJmYTU2OGNiNGMwNDY4ZGU1YTU0MWY1NDAyMmYifQ=="/>
  </w:docVars>
  <w:rsids>
    <w:rsidRoot w:val="00B34EFF"/>
    <w:rsid w:val="00B34EFF"/>
    <w:rsid w:val="00BA1046"/>
    <w:rsid w:val="7025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等线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1889</Words>
  <Characters>2206</Characters>
  <Lines>16</Lines>
  <Paragraphs>4</Paragraphs>
  <TotalTime>1</TotalTime>
  <ScaleCrop>false</ScaleCrop>
  <LinksUpToDate>false</LinksUpToDate>
  <CharactersWithSpaces>2235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2025-03-06T05:42:00Z</dcterms:created>
  <dc:creator>pc-hp</dc:creator>
  <cp:lastModifiedBy>橘子桔子橘</cp:lastModifiedBy>
  <dcterms:modified xsi:type="dcterms:W3CDTF">2025-03-06T06:23:13Z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60BF78B15DAB4E719FE906D157C5A24E_12</vt:lpwstr>
  </property>
</Properties>
</file>